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both"/>
        <w:rPr>
          <w:sz w:val="48"/>
        </w:rPr>
      </w:pPr>
      <w:bookmarkStart w:id="0" w:name="wnd_TextBlock_65261783763617244_inner_1"/>
      <w:bookmarkStart w:id="1" w:name="wnd_TextBlock_65261783763617244_inner_0"/>
      <w:bookmarkEnd w:id="0"/>
      <w:bookmarkEnd w:id="1"/>
      <w:r>
        <w:rPr>
          <w:rStyle w:val="Strong"/>
          <w:sz w:val="48"/>
        </w:rPr>
        <w:t>Získat si jméno</w:t>
      </w:r>
    </w:p>
    <w:p>
      <w:pPr>
        <w:pStyle w:val="BodyText"/>
        <w:tabs>
          <w:tab w:val="clear" w:pos="709"/>
          <w:tab w:val="left" w:pos="270" w:leader="none"/>
        </w:tabs>
        <w:bidi w:val="0"/>
        <w:ind w:hanging="0" w:start="0" w:end="0"/>
        <w:jc w:val="both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ab/>
        <w:t>Toto</w:t>
      </w:r>
      <w:r>
        <w:rPr>
          <w:rStyle w:val="Strong"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slovní spojení, </w:t>
      </w:r>
      <w:r>
        <w:rPr>
          <w:color w:val="000000"/>
        </w:rPr>
        <w:t>které</w:t>
      </w:r>
      <w:r>
        <w:rPr>
          <w:color w:val="000000"/>
        </w:rPr>
        <w:t xml:space="preserve"> se vyskytuje jak v Písmu, tak ve spisech starověkého Sumeru i antického </w:t>
      </w:r>
      <w:r>
        <w:rPr>
          <w:color w:val="000000"/>
        </w:rPr>
        <w:t xml:space="preserve">Řecka. </w:t>
      </w:r>
      <w:r>
        <w:rPr>
          <w:color w:val="000000"/>
        </w:rPr>
        <w:t>Ani dnes není úplně zapomenuto.</w:t>
      </w:r>
      <w:r>
        <w:rPr>
          <w:color w:val="000000"/>
        </w:rPr>
        <w:t xml:space="preserve"> </w:t>
      </w:r>
      <w:r>
        <w:rPr>
          <w:color w:val="000000"/>
        </w:rPr>
        <w:t xml:space="preserve">Používá se i dnes, ale v jiném smyslu. </w:t>
      </w:r>
      <w:r>
        <w:rPr>
          <w:color w:val="000000"/>
        </w:rPr>
        <w:t xml:space="preserve">Dnes </w:t>
      </w:r>
      <w:r>
        <w:rPr>
          <w:color w:val="000000"/>
        </w:rPr>
        <w:t xml:space="preserve">pojem </w:t>
      </w:r>
      <w:r>
        <w:rPr>
          <w:i/>
          <w:iCs/>
          <w:color w:val="000000"/>
        </w:rPr>
        <w:t>jméno</w:t>
      </w:r>
      <w:r>
        <w:rPr>
          <w:color w:val="000000"/>
        </w:rPr>
        <w:t xml:space="preserve"> znamená jen označení věci nebo člověka. Ve starověku se </w:t>
      </w:r>
      <w:r>
        <w:rPr>
          <w:color w:val="000000"/>
        </w:rPr>
        <w:t xml:space="preserve">však </w:t>
      </w:r>
      <w:r>
        <w:rPr>
          <w:color w:val="000000"/>
        </w:rPr>
        <w:t>jména dávala podle vlastností</w:t>
      </w:r>
      <w:r>
        <w:rPr>
          <w:color w:val="000000"/>
        </w:rPr>
        <w:t xml:space="preserve"> osoby nebo podle svěřeného úkolu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>Mít jméno</w:t>
      </w:r>
      <w:r>
        <w:rPr>
          <w:color w:val="000000"/>
        </w:rPr>
        <w:t xml:space="preserve"> tenkrát i dnes znamenalo významnost. Ve starověkem Izraeli říkali </w:t>
      </w:r>
      <w:r>
        <w:rPr>
          <w:color w:val="000000"/>
        </w:rPr>
        <w:t>narozenému dítěti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maličký</w:t>
      </w:r>
      <w:r>
        <w:rPr>
          <w:color w:val="000000"/>
        </w:rPr>
        <w:t xml:space="preserve"> a jméno dostal až později, podle svého jednání. Například jméno Izák (Jicchak) znamená </w:t>
      </w:r>
      <w:r>
        <w:rPr>
          <w:i/>
          <w:iCs/>
          <w:color w:val="000000"/>
        </w:rPr>
        <w:t xml:space="preserve">ten, kdo se směje, smíšek. </w:t>
      </w:r>
      <w:r>
        <w:rPr>
          <w:i w:val="false"/>
          <w:iCs w:val="false"/>
          <w:color w:val="000000"/>
        </w:rPr>
        <w:t xml:space="preserve">A Izák, </w:t>
      </w:r>
      <w:r>
        <w:rPr>
          <w:i w:val="false"/>
          <w:iCs w:val="false"/>
          <w:color w:val="000000"/>
        </w:rPr>
        <w:t>Abrahamův syn, j</w:t>
      </w:r>
      <w:r>
        <w:rPr>
          <w:i w:val="false"/>
          <w:iCs w:val="false"/>
          <w:color w:val="000000"/>
        </w:rPr>
        <w:t>istě</w:t>
      </w:r>
      <w:r>
        <w:rPr>
          <w:color w:val="000000"/>
        </w:rPr>
        <w:t xml:space="preserve"> </w:t>
      </w:r>
      <w:r>
        <w:rPr>
          <w:color w:val="000000"/>
        </w:rPr>
        <w:t>toto</w:t>
      </w:r>
      <w:r>
        <w:rPr>
          <w:color w:val="000000"/>
        </w:rPr>
        <w:t xml:space="preserve"> jméno dostal podle svého chování. </w:t>
      </w:r>
    </w:p>
    <w:p>
      <w:pPr>
        <w:pStyle w:val="BodyText"/>
        <w:tabs>
          <w:tab w:val="clear" w:pos="709"/>
          <w:tab w:val="left" w:pos="270" w:leader="none"/>
        </w:tabs>
        <w:bidi w:val="0"/>
        <w:ind w:hanging="0" w:start="0" w:end="0"/>
        <w:jc w:val="both"/>
        <w:rPr/>
      </w:pPr>
      <w:r>
        <w:rPr>
          <w:color w:val="000000"/>
        </w:rPr>
        <w:tab/>
        <w:t>Jméno bylo tedy označení toho, jakým člověkem je, jaké má vlastnosti,</w:t>
      </w:r>
      <w:r>
        <w:rPr>
          <w:color w:val="000000"/>
        </w:rPr>
        <w:t xml:space="preserve"> příp. jaký dostal úkol od Boha. Co je </w:t>
      </w:r>
      <w:r>
        <w:rPr>
          <w:color w:val="000000"/>
        </w:rPr>
        <w:t xml:space="preserve">ale důležité, </w:t>
      </w:r>
      <w:r>
        <w:rPr>
          <w:color w:val="000000"/>
        </w:rPr>
        <w:t>jméno</w:t>
      </w:r>
      <w:r>
        <w:rPr>
          <w:color w:val="000000"/>
        </w:rPr>
        <w:t xml:space="preserve"> si nikdo nedával sám, vždy je dostal. V Písmu většinou od rodičů nebo</w:t>
      </w:r>
      <w:r>
        <w:rPr/>
        <w:t xml:space="preserve"> od Boha. </w:t>
      </w:r>
      <w:r>
        <w:rPr>
          <w:i/>
          <w:iCs/>
        </w:rPr>
        <w:t>Získat si jméno</w:t>
      </w:r>
      <w:r>
        <w:rPr/>
        <w:t xml:space="preserve"> bylo něco nesprávného. Tak jako touha proslavit se za každou cenu. Hebrejci používali výraz </w:t>
      </w:r>
      <w:r>
        <w:rPr>
          <w:rStyle w:val="Emphasis"/>
        </w:rPr>
        <w:t>asá šém,</w:t>
      </w:r>
      <w:r>
        <w:rPr/>
        <w:t xml:space="preserve"> v akkadštině je to </w:t>
      </w:r>
      <w:r>
        <w:rPr>
          <w:rStyle w:val="Emphasis"/>
        </w:rPr>
        <w:t>šuma šakānu</w:t>
      </w:r>
      <w:r>
        <w:rPr/>
        <w:t>. Získat si jméno znamenalo postavit se proti Bohu, získat si slávu bez duchovního základu.</w:t>
      </w:r>
    </w:p>
    <w:p>
      <w:pPr>
        <w:pStyle w:val="BodyText"/>
        <w:tabs>
          <w:tab w:val="clear" w:pos="709"/>
          <w:tab w:val="left" w:pos="270" w:leader="none"/>
          <w:tab w:val="left" w:pos="5440" w:leader="none"/>
        </w:tabs>
        <w:bidi w:val="0"/>
        <w:ind w:hanging="0" w:start="0" w:end="0"/>
        <w:jc w:val="both"/>
        <w:rPr/>
      </w:pPr>
      <w:r>
        <w:rPr/>
        <w:tab/>
        <w:t>V eposu o Gilgamešovi se píše o tom, že Gilgameš si uvědomuje svou smrtelnost a říká: „Chci vstoupit do cedrového lesa, chci si tam učinit jméno“. Gilgameš a Enkidu (jeho přítel) jdou do cedrového lesa a porazí démona Chuvavu. Je to označeno jako projev pýchy a překročení hranic daných člověku a přichází trest - Enkidu tragicky umírá a Gilgameš propadá zoufalství.</w:t>
      </w:r>
    </w:p>
    <w:p>
      <w:pPr>
        <w:pStyle w:val="BodyText"/>
        <w:tabs>
          <w:tab w:val="clear" w:pos="709"/>
          <w:tab w:val="left" w:pos="270" w:leader="none"/>
        </w:tabs>
        <w:bidi w:val="0"/>
        <w:ind w:hanging="0" w:start="0" w:end="0"/>
        <w:jc w:val="both"/>
        <w:rPr/>
      </w:pPr>
      <w:bookmarkStart w:id="2" w:name="wnd_TextBlock_65261783763617244_inner_5"/>
      <w:bookmarkEnd w:id="2"/>
      <w:r>
        <w:rPr>
          <w:sz w:val="24"/>
        </w:rPr>
        <w:tab/>
        <w:t>V hliněných tabulkách z Mari (asi 1 800 př. n. l.)</w:t>
      </w:r>
      <w:r>
        <w:rPr>
          <w:color w:val="069A2E"/>
          <w:sz w:val="24"/>
        </w:rPr>
        <w:t xml:space="preserve"> </w:t>
      </w:r>
      <w:r>
        <w:rPr>
          <w:color w:val="000000"/>
          <w:sz w:val="24"/>
        </w:rPr>
        <w:t xml:space="preserve">jsou zmíněna </w:t>
      </w:r>
      <w:r>
        <w:rPr>
          <w:sz w:val="24"/>
        </w:rPr>
        <w:t xml:space="preserve">některá města starověkého Izraele. V části dotýkající se válečnictví je popisováno, jak </w:t>
      </w:r>
      <w:r>
        <w:rPr>
          <w:rStyle w:val="Emphasis"/>
          <w:sz w:val="24"/>
        </w:rPr>
        <w:t>si získat jméno</w:t>
      </w:r>
      <w:r>
        <w:rPr>
          <w:sz w:val="24"/>
        </w:rPr>
        <w:t xml:space="preserve"> pomocí válečného tažení. Jména </w:t>
      </w:r>
      <w:r>
        <w:rPr>
          <w:color w:val="000000"/>
          <w:sz w:val="24"/>
        </w:rPr>
        <w:t xml:space="preserve">(slávy) </w:t>
      </w:r>
      <w:r>
        <w:rPr>
          <w:color w:val="000000"/>
          <w:sz w:val="24"/>
        </w:rPr>
        <w:t>tedy</w:t>
      </w:r>
      <w:r>
        <w:rPr>
          <w:color w:val="000000"/>
          <w:sz w:val="24"/>
        </w:rPr>
        <w:t xml:space="preserve"> bylo</w:t>
      </w:r>
      <w:r>
        <w:rPr>
          <w:color w:val="000000"/>
          <w:sz w:val="24"/>
        </w:rPr>
        <w:t xml:space="preserve"> dosaženo prostřednictvím</w:t>
      </w:r>
      <w:r>
        <w:rPr>
          <w:color w:val="000000"/>
          <w:sz w:val="24"/>
        </w:rPr>
        <w:t xml:space="preserve"> zabíjení, prolévání krve, ničení měst, zkrátka </w:t>
      </w:r>
      <w:r>
        <w:rPr>
          <w:color w:val="000000"/>
          <w:sz w:val="24"/>
        </w:rPr>
        <w:t>rozpoutáním</w:t>
      </w:r>
      <w:r>
        <w:rPr>
          <w:color w:val="000000"/>
          <w:sz w:val="24"/>
        </w:rPr>
        <w:t xml:space="preserve"> válečného násilí.</w:t>
      </w:r>
    </w:p>
    <w:p>
      <w:pPr>
        <w:pStyle w:val="BodyText"/>
        <w:tabs>
          <w:tab w:val="clear" w:pos="709"/>
          <w:tab w:val="left" w:pos="290" w:leader="none"/>
        </w:tabs>
        <w:bidi w:val="0"/>
        <w:ind w:hanging="0" w:start="0" w:end="0"/>
        <w:jc w:val="both"/>
        <w:rPr/>
      </w:pPr>
      <w:r>
        <w:rPr>
          <w:color w:val="000000"/>
          <w:sz w:val="24"/>
        </w:rPr>
        <w:tab/>
        <w:t xml:space="preserve">Starověcí Řekové </w:t>
      </w:r>
      <w:r>
        <w:rPr>
          <w:color w:val="000000"/>
          <w:sz w:val="24"/>
        </w:rPr>
        <w:t xml:space="preserve">používali výraz </w:t>
      </w:r>
      <w:r>
        <w:rPr>
          <w:i/>
          <w:iCs/>
          <w:color w:val="000000"/>
          <w:sz w:val="24"/>
        </w:rPr>
        <w:t>h</w:t>
      </w:r>
      <w:r>
        <w:rPr>
          <w:rStyle w:val="Emphasis"/>
          <w:color w:val="000000"/>
          <w:sz w:val="24"/>
        </w:rPr>
        <w:t xml:space="preserve">ybris </w:t>
      </w:r>
      <w:r>
        <w:rPr>
          <w:color w:val="000000"/>
          <w:sz w:val="24"/>
        </w:rPr>
        <w:t xml:space="preserve">pro jednání, které se projevovalo nadměrnou pýchou, arogancí a nadměrným sebevědomím. Bylo vyhodnocováno negativně, jako chování „mimo normalitu“, překračující hranice lidských možností, připodobňování se k bohům. </w:t>
      </w:r>
      <w:r>
        <w:rPr>
          <w:color w:val="000000"/>
          <w:sz w:val="24"/>
        </w:rPr>
        <w:t>Tím však je spuštěn trest a pád člověka</w:t>
      </w:r>
    </w:p>
    <w:p>
      <w:pPr>
        <w:pStyle w:val="BodyText"/>
        <w:tabs>
          <w:tab w:val="clear" w:pos="709"/>
          <w:tab w:val="left" w:pos="290" w:leader="none"/>
        </w:tabs>
        <w:bidi w:val="0"/>
        <w:ind w:hanging="0" w:start="0" w:end="0"/>
        <w:jc w:val="both"/>
        <w:rPr>
          <w:rFonts w:ascii="sans-serif" w:hAnsi="sans-serif"/>
          <w:b w:val="false"/>
          <w:i w:val="false"/>
          <w:i w:val="false"/>
          <w:caps w:val="false"/>
          <w:smallCaps w:val="false"/>
          <w:color w:val="202122"/>
          <w:spacing w:val="0"/>
          <w:sz w:val="16"/>
          <w:highlight w:val="none"/>
          <w:shd w:fill="FFFFFF" w:val="clear"/>
        </w:rPr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/>
              <w:spacing w:before="0" w:after="0"/>
              <w:ind w:hanging="0" w:start="0" w:end="0"/>
              <w:rPr>
                <w:rFonts w:ascii="sans-serif" w:hAnsi="sans-serif"/>
                <w:b w:val="false"/>
                <w:i w:val="false"/>
                <w:i w:val="false"/>
                <w:caps w:val="false"/>
                <w:smallCaps w:val="false"/>
                <w:color w:val="202122"/>
                <w:spacing w:val="0"/>
                <w:sz w:val="16"/>
              </w:rPr>
            </w:pP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</w:rPr>
              <w:t xml:space="preserve">Zdroj: </w:t>
            </w:r>
            <w:hyperlink r:id="rId2">
              <w:r>
                <w:rPr>
                  <w:rStyle w:val="Hyperlink"/>
                  <w:rFonts w:ascii="sans-serif" w:hAnsi="sans-serif"/>
                  <w:b w:val="false"/>
                  <w:i w:val="false"/>
                  <w:caps w:val="false"/>
                  <w:smallCaps w:val="false"/>
                  <w:color w:val="202122"/>
                  <w:spacing w:val="0"/>
                  <w:sz w:val="16"/>
                </w:rPr>
                <w:t>https://cs.wikipedia.org</w:t>
              </w:r>
            </w:hyperlink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</w:rPr>
              <w:t>, heslo „hybris“, 7/2026</w:t>
            </w:r>
          </w:p>
        </w:tc>
      </w:tr>
    </w:tbl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tabs>
                <w:tab w:val="clear" w:pos="709"/>
                <w:tab w:val="left" w:pos="290" w:leader="none"/>
              </w:tabs>
              <w:bidi w:val="0"/>
              <w:spacing w:before="0" w:after="0"/>
              <w:ind w:hanging="0" w:start="0" w:end="0"/>
              <w:jc w:val="both"/>
              <w:rPr/>
            </w:pPr>
            <w:bookmarkStart w:id="3" w:name="mwBw_kopie_1"/>
            <w:bookmarkStart w:id="4" w:name="mwCA_kopie_1"/>
            <w:bookmarkEnd w:id="3"/>
            <w:bookmarkEnd w:id="4"/>
            <w:r>
              <w:rPr>
                <w:rFonts w:ascii="sans-serif" w:hAnsi="sans-serif"/>
                <w:b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Hybris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 (ὕβρις) znamenala v řeckém starověku navenek projevovanou</w:t>
            </w:r>
            <w:bookmarkStart w:id="5" w:name="mwCQ_kopie_1"/>
            <w:bookmarkEnd w:id="5"/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 xml:space="preserve"> </w:t>
            </w:r>
            <w:hyperlink r:id="rId3">
              <w:r>
                <w:rPr>
                  <w:rStyle w:val="Hyperlink"/>
                  <w:rFonts w:ascii="sans-serif" w:hAnsi="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3366CC"/>
                  <w:spacing w:val="0"/>
                  <w:sz w:val="16"/>
                  <w:u w:val="none"/>
                  <w:effect w:val="none"/>
                  <w:shd w:fill="auto" w:val="clear"/>
                </w:rPr>
                <w:t>pýchu</w:t>
              </w:r>
            </w:hyperlink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, domýšlivost a</w:t>
            </w:r>
            <w:bookmarkStart w:id="6" w:name="mwCg_kopie_1"/>
            <w:bookmarkEnd w:id="6"/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 xml:space="preserve"> </w:t>
            </w:r>
            <w:hyperlink r:id="rId4">
              <w:r>
                <w:rPr>
                  <w:rStyle w:val="Hyperlink"/>
                  <w:rFonts w:ascii="sans-serif" w:hAnsi="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3366CC"/>
                  <w:spacing w:val="0"/>
                  <w:sz w:val="16"/>
                  <w:u w:val="none"/>
                  <w:effect w:val="none"/>
                  <w:shd w:fill="auto" w:val="clear"/>
                </w:rPr>
                <w:t>aroganci</w:t>
              </w:r>
            </w:hyperlink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, vyzývavé, drzé jednání a vystupování, jež překračuje člověku vymezenou hranici a nutně vyvolá</w:t>
            </w:r>
            <w:bookmarkStart w:id="7" w:name="mwCw_kopie_1"/>
            <w:bookmarkEnd w:id="7"/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 xml:space="preserve"> </w:t>
            </w:r>
            <w:hyperlink r:id="rId5">
              <w:r>
                <w:rPr>
                  <w:rStyle w:val="Hyperlink"/>
                  <w:rFonts w:ascii="sans-serif" w:hAnsi="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3366CC"/>
                  <w:spacing w:val="0"/>
                  <w:sz w:val="16"/>
                  <w:u w:val="none"/>
                  <w:effect w:val="none"/>
                  <w:shd w:fill="auto" w:val="clear"/>
                </w:rPr>
                <w:t>trest</w:t>
              </w:r>
            </w:hyperlink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66CC"/>
                <w:spacing w:val="0"/>
                <w:sz w:val="16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bohů, který pak postihne celou společnost.</w:t>
            </w:r>
            <w:r>
              <w:fldChar w:fldCharType="begin"/>
            </w:r>
            <w:r>
              <w:rPr>
                <w:rStyle w:val="Hyperlink"/>
                <w:smallCaps w:val="false"/>
                <w:caps w:val="false"/>
                <w:dstrike w:val="false"/>
                <w:strike w:val="false"/>
                <w:sz w:val="16"/>
                <w:spacing w:val="0"/>
                <w:i w:val="false"/>
                <w:u w:val="none"/>
                <w:b w:val="false"/>
                <w:effect w:val="none"/>
                <w:shd w:fill="auto" w:val="clear"/>
                <w:rFonts w:ascii="sans-serif" w:hAnsi="sans-serif"/>
                <w:color w:val="3366CC"/>
              </w:rPr>
              <w:instrText xml:space="preserve"> HYPERLINK "https://cs.wikipedia.org/wiki/Hybris" \l "cite_note-1"</w:instrText>
            </w:r>
            <w:r>
              <w:rPr>
                <w:rStyle w:val="Hyperlink"/>
                <w:smallCaps w:val="false"/>
                <w:caps w:val="false"/>
                <w:dstrike w:val="false"/>
                <w:strike w:val="false"/>
                <w:sz w:val="16"/>
                <w:spacing w:val="0"/>
                <w:i w:val="false"/>
                <w:u w:val="none"/>
                <w:b w:val="false"/>
                <w:effect w:val="none"/>
                <w:shd w:fill="auto" w:val="clear"/>
                <w:rFonts w:ascii="sans-serif" w:hAnsi="sans-serif"/>
                <w:color w:val="3366CC"/>
              </w:rPr>
              <w:fldChar w:fldCharType="separate"/>
            </w:r>
            <w:bookmarkStart w:id="8" w:name="cite_ref-1_kopie_1"/>
            <w:bookmarkStart w:id="9" w:name="mwDA_kopie_1"/>
            <w:bookmarkStart w:id="10" w:name="mwDQ_kopie_1"/>
            <w:bookmarkStart w:id="11" w:name="mwDg_kopie_1"/>
            <w:bookmarkEnd w:id="8"/>
            <w:bookmarkEnd w:id="9"/>
            <w:bookmarkEnd w:id="10"/>
            <w:bookmarkEnd w:id="11"/>
            <w:r>
              <w:rPr>
                <w:rStyle w:val="Hyperlink"/>
                <w:rFonts w:ascii="sans-serif" w:hAnsi="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66CC"/>
                <w:spacing w:val="0"/>
                <w:sz w:val="16"/>
                <w:u w:val="none"/>
                <w:effect w:val="none"/>
                <w:shd w:fill="auto" w:val="clear"/>
              </w:rPr>
              <w:t>[1</w:t>
            </w:r>
            <w:r>
              <w:rPr>
                <w:rStyle w:val="Hyperlink"/>
                <w:smallCaps w:val="false"/>
                <w:caps w:val="false"/>
                <w:dstrike w:val="false"/>
                <w:strike w:val="false"/>
                <w:sz w:val="16"/>
                <w:spacing w:val="0"/>
                <w:i w:val="false"/>
                <w:u w:val="none"/>
                <w:b w:val="false"/>
                <w:effect w:val="none"/>
                <w:shd w:fill="auto" w:val="clear"/>
                <w:rFonts w:ascii="sans-serif" w:hAnsi="sans-serif"/>
                <w:color w:val="3366CC"/>
              </w:rPr>
              <w:fldChar w:fldCharType="end"/>
            </w:r>
            <w:bookmarkStart w:id="12" w:name="mwDw_kopie_1"/>
            <w:bookmarkEnd w:id="12"/>
            <w:r>
              <w:rPr>
                <w:rStyle w:val="Hyperlink"/>
                <w:rFonts w:ascii="sans-serif" w:hAnsi="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66CC"/>
                <w:spacing w:val="0"/>
                <w:sz w:val="16"/>
                <w:u w:val="none"/>
                <w:effect w:val="none"/>
                <w:shd w:fill="auto" w:val="clear"/>
              </w:rPr>
              <w:t>]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66CC"/>
                <w:spacing w:val="0"/>
                <w:sz w:val="16"/>
                <w:u w:val="none"/>
                <w:effect w:val="none"/>
                <w:shd w:fill="auto" w:val="clear"/>
              </w:rPr>
              <w:t xml:space="preserve"> 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Proto patřila k nejtěžším zločinům a trestala se i smrtí. Původ slova se odvozuje od předpony</w:t>
            </w:r>
            <w:bookmarkStart w:id="13" w:name="mwEA_kopie_1"/>
            <w:bookmarkEnd w:id="13"/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 xml:space="preserve"> </w:t>
            </w:r>
            <w:r>
              <w:rPr>
                <w:rFonts w:ascii="sans-serif" w:hAnsi="sans-serif"/>
                <w:b w:val="false"/>
                <w:i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hyper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>- a slovesa jít, kráčet; označovalo tedy něco jako překročení mezí.</w:t>
            </w:r>
            <w:bookmarkStart w:id="14" w:name="mwEQ_kopie_1"/>
            <w:bookmarkEnd w:id="14"/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16"/>
                <w:shd w:fill="auto" w:val="clear"/>
              </w:rPr>
              <w:t xml:space="preserve"> Je charakterovou vlastností osobnosti, která se projevuje extrémně natvrdlou pýchou spolu s nebezpečným sebevědomím, často v kombinací s arogancí. …</w:t>
            </w:r>
          </w:p>
        </w:tc>
      </w:tr>
    </w:tbl>
    <w:p>
      <w:pPr>
        <w:pStyle w:val="BodyText"/>
        <w:widowControl/>
        <w:ind w:hanging="0" w:start="0" w:end="0"/>
        <w:rPr>
          <w:rFonts w:ascii="sans-serif" w:hAnsi="sans-serif"/>
          <w:b w:val="false"/>
          <w:i w:val="false"/>
          <w:i w:val="false"/>
          <w:caps w:val="false"/>
          <w:smallCaps w:val="false"/>
          <w:color w:val="202122"/>
          <w:spacing w:val="0"/>
          <w:sz w:val="16"/>
        </w:rPr>
      </w:pPr>
      <w:r>
        <w:rPr/>
      </w:r>
    </w:p>
    <w:p>
      <w:pPr>
        <w:pStyle w:val="BodyText"/>
        <w:tabs>
          <w:tab w:val="clear" w:pos="709"/>
          <w:tab w:val="left" w:pos="290" w:leader="none"/>
        </w:tabs>
        <w:bidi w:val="0"/>
        <w:ind w:hanging="0" w:start="0" w:end="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09"/>
          <w:tab w:val="left" w:pos="290" w:leader="none"/>
        </w:tabs>
        <w:bidi w:val="0"/>
        <w:ind w:hanging="0" w:start="0" w:end="0"/>
        <w:jc w:val="both"/>
        <w:rPr/>
      </w:pPr>
      <w:bookmarkStart w:id="15" w:name="wnd_TextBlock_65261783763617244_inner_7"/>
      <w:bookmarkEnd w:id="15"/>
      <w:r>
        <w:rPr>
          <w:sz w:val="24"/>
        </w:rPr>
        <w:tab/>
        <w:t xml:space="preserve">V Písmu se s tímto jednáním setkáváme poprvé před potopou světa. Andělé, kteří byli určeni </w:t>
      </w:r>
      <w:r>
        <w:rPr>
          <w:color w:val="auto"/>
          <w:sz w:val="24"/>
        </w:rPr>
        <w:t>k ochraně země a zřejmě měli zajišťovat komunikaci s Bohem, začali toužit po lidských ženách;</w:t>
      </w:r>
      <w:r>
        <w:rPr>
          <w:color w:val="auto"/>
          <w:sz w:val="24"/>
        </w:rPr>
        <w:t xml:space="preserve"> takto Bible mluví o jejich motivaci. </w:t>
      </w:r>
      <w:r>
        <w:rPr>
          <w:color w:val="auto"/>
          <w:sz w:val="24"/>
        </w:rPr>
        <w:t>Ale z událostí</w:t>
      </w:r>
      <w:r>
        <w:rPr>
          <w:color w:val="auto"/>
          <w:sz w:val="24"/>
        </w:rPr>
        <w:t>, které následovaly,</w:t>
      </w:r>
      <w:r>
        <w:rPr>
          <w:color w:val="auto"/>
          <w:sz w:val="24"/>
        </w:rPr>
        <w:t xml:space="preserve"> lze usoudit, že se toho muselo odehrát více. V knize Enochově (etiopská verze) se píše, že přísahali a zavázali se kletbou, že od svého plánu neustoupí. Všichni věděli že jednají špatně. A nešlo jen o to získat ženy, přinesli lidem poznání, na které lidé nebyli připraveni a morálně to nezvládli. </w:t>
      </w:r>
      <w:r>
        <w:rPr>
          <w:color w:val="auto"/>
          <w:sz w:val="24"/>
        </w:rPr>
        <w:t>Anděl</w:t>
      </w:r>
      <w:r>
        <w:rPr>
          <w:color w:val="auto"/>
          <w:sz w:val="24"/>
        </w:rPr>
        <w:t xml:space="preserve"> Azazel naučil lidi zpracovávat kovy a vyrábět zbraně a ženy naučil líčit se. Šemchazaj naučil lidstvo léčit pomocí přírodních prostředků a</w:t>
      </w:r>
      <w:r>
        <w:rPr>
          <w:sz w:val="24"/>
        </w:rPr>
        <w:t xml:space="preserve"> zároveň jakými látkami lze člověka otrávit. Další </w:t>
      </w:r>
      <w:r>
        <w:rPr>
          <w:color w:val="auto"/>
          <w:sz w:val="24"/>
        </w:rPr>
        <w:t xml:space="preserve">andělé </w:t>
      </w:r>
      <w:r>
        <w:rPr>
          <w:color w:val="auto"/>
          <w:sz w:val="24"/>
        </w:rPr>
        <w:t>u</w:t>
      </w:r>
      <w:r>
        <w:rPr>
          <w:sz w:val="24"/>
        </w:rPr>
        <w:t xml:space="preserve">čili lidi astronomii, astrologii, předpovídat počasí a vývoj událostí. Nešlo tedy jen o touhu po lidských ženách. Mimochodem sloveso „brali si“ v Bibli (hebrejsky: </w:t>
      </w:r>
      <w:r>
        <w:rPr>
          <w:rStyle w:val="Emphasis"/>
          <w:sz w:val="24"/>
        </w:rPr>
        <w:t xml:space="preserve">va-jiqchu </w:t>
      </w:r>
      <w:r>
        <w:rPr>
          <w:rStyle w:val="Emphasis"/>
          <w:szCs w:val="24"/>
          <w:rtl w:val="true"/>
        </w:rPr>
        <w:t>ויקחו</w:t>
      </w:r>
      <w:r>
        <w:rPr>
          <w:sz w:val="24"/>
        </w:rPr>
        <w:t xml:space="preserve">), ve spojení </w:t>
      </w:r>
      <w:r>
        <w:rPr>
          <w:rStyle w:val="Emphasis"/>
          <w:sz w:val="24"/>
        </w:rPr>
        <w:t xml:space="preserve">brali si lidské ženy, </w:t>
      </w:r>
      <w:r>
        <w:rPr>
          <w:sz w:val="24"/>
        </w:rPr>
        <w:t xml:space="preserve">označuje hlavně to, že si je nebrali za manželky, ale nutili je s použitím síly nebo nátlaku. A takto šli od ženy k </w:t>
      </w:r>
      <w:r>
        <w:rPr>
          <w:color w:val="auto"/>
          <w:sz w:val="24"/>
        </w:rPr>
        <w:t>ženě</w:t>
      </w:r>
      <w:r>
        <w:rPr>
          <w:sz w:val="24"/>
        </w:rPr>
        <w:t xml:space="preserve"> – tedy znásilňovali je a jednali promiskuitně. Jejich touha je vedla k násilí. Předáváním technologií a znalostí se </w:t>
      </w:r>
      <w:r>
        <w:rPr>
          <w:color w:val="auto"/>
          <w:sz w:val="24"/>
        </w:rPr>
        <w:t xml:space="preserve">andělé </w:t>
      </w:r>
      <w:r>
        <w:rPr>
          <w:color w:val="auto"/>
          <w:sz w:val="24"/>
        </w:rPr>
        <w:t>stali</w:t>
      </w:r>
      <w:r>
        <w:rPr>
          <w:sz w:val="24"/>
        </w:rPr>
        <w:t xml:space="preserve"> pro lidi bohy, které lidé následně uctívali nebo nenáviděli. </w:t>
      </w:r>
      <w:r>
        <w:rPr>
          <w:i/>
          <w:iCs/>
          <w:sz w:val="24"/>
        </w:rPr>
        <w:t>Udělali si jméno.</w:t>
      </w:r>
      <w:r>
        <w:rPr>
          <w:sz w:val="24"/>
        </w:rPr>
        <w:t xml:space="preserve"> Nakonec tím, kdo je v roli strážců nahradil, byl Enoch.</w:t>
      </w:r>
    </w:p>
    <w:p>
      <w:pPr>
        <w:pStyle w:val="BodyText"/>
        <w:bidi w:val="0"/>
        <w:ind w:hanging="0" w:start="0" w:end="0"/>
        <w:jc w:val="both"/>
        <w:rPr>
          <w:sz w:val="24"/>
        </w:rPr>
      </w:pPr>
      <w:bookmarkStart w:id="16" w:name="wnd_TextBlock_65261783763617244_inner_8"/>
      <w:bookmarkEnd w:id="16"/>
      <w:r>
        <w:rPr>
          <w:sz w:val="24"/>
        </w:rPr>
        <w:t>Po potopě se toto jednání objevilo znovu.</w:t>
      </w:r>
    </w:p>
    <w:p>
      <w:pPr>
        <w:pStyle w:val="Blokovcitace"/>
        <w:bidi w:val="0"/>
        <w:ind w:hanging="0" w:start="567" w:end="567"/>
        <w:jc w:val="start"/>
        <w:rPr/>
      </w:pPr>
      <w:bookmarkStart w:id="17" w:name="wnd_TextBlock_65261783763617244_inner_9"/>
      <w:bookmarkEnd w:id="17"/>
      <w:r>
        <w:rPr>
          <w:rStyle w:val="Strong"/>
          <w:color w:val="0000FE"/>
          <w:sz w:val="20"/>
        </w:rPr>
        <w:t>[Český ekumenický překlad 2001] Genesis 11:4</w:t>
        <w:br/>
      </w:r>
      <w:r>
        <w:rPr>
          <w:rStyle w:val="Strong"/>
          <w:sz w:val="20"/>
        </w:rPr>
        <w:t>Nato řekli: „Nuže, vybudujme si město a věž, jejíž vrchol bude v nebi. Tak si učiníme jméno a nebudeme rozptýleni po celé zemi.“</w:t>
      </w:r>
    </w:p>
    <w:p>
      <w:pPr>
        <w:pStyle w:val="BodyText"/>
        <w:tabs>
          <w:tab w:val="clear" w:pos="709"/>
          <w:tab w:val="left" w:pos="280" w:leader="none"/>
        </w:tabs>
        <w:bidi w:val="0"/>
        <w:ind w:hanging="0" w:start="0" w:end="0"/>
        <w:jc w:val="both"/>
        <w:rPr/>
      </w:pPr>
      <w:bookmarkStart w:id="18" w:name="wnd_TextBlock_65261783763617244_inner_10"/>
      <w:bookmarkEnd w:id="18"/>
      <w:r>
        <w:rPr>
          <w:color w:val="000000"/>
          <w:sz w:val="24"/>
        </w:rPr>
        <w:tab/>
        <w:t>Nešlo tedy jen o získání slávy, ale o otevřenou vzpouru proti Bohu. Andělé i lidé svým jednáním spustili sérii událostí, které nakonec vedly k Božímu zásahu. Toto jednání totiž způsobuje sebedestrukci společnosti a Bohu nezbývá nic jiného, než zasáhnout, aby zachránil lidstvo .</w:t>
      </w:r>
    </w:p>
    <w:p>
      <w:pPr>
        <w:pStyle w:val="BodyText"/>
        <w:tabs>
          <w:tab w:val="clear" w:pos="709"/>
          <w:tab w:val="left" w:pos="310" w:leader="none"/>
        </w:tabs>
        <w:bidi w:val="0"/>
        <w:ind w:hanging="0" w:start="0" w:end="0"/>
        <w:jc w:val="both"/>
        <w:rPr/>
      </w:pPr>
      <w:bookmarkStart w:id="19" w:name="wnd_TextBlock_65261783763617244_inner_11"/>
      <w:bookmarkEnd w:id="19"/>
      <w:r>
        <w:rPr>
          <w:sz w:val="24"/>
        </w:rPr>
        <w:tab/>
        <w:t>Toto chování se objevuje bohužel dodnes. I dnes vidíme mnohé politiky, obchodníky a další osoby, jak si</w:t>
      </w:r>
      <w:r>
        <w:rPr>
          <w:color w:val="auto"/>
          <w:sz w:val="24"/>
        </w:rPr>
        <w:t xml:space="preserve"> snaží </w:t>
      </w:r>
      <w:r>
        <w:rPr>
          <w:i/>
          <w:iCs/>
          <w:color w:val="auto"/>
          <w:sz w:val="24"/>
        </w:rPr>
        <w:t>udělat jméno</w:t>
      </w:r>
      <w:r>
        <w:rPr>
          <w:color w:val="auto"/>
          <w:sz w:val="24"/>
        </w:rPr>
        <w:t xml:space="preserve"> a vyřadit Boha a jeho zákony z lidského života. Neuvědomují si, co mohou spustit. </w:t>
      </w:r>
      <w:r>
        <w:rPr>
          <w:color w:val="auto"/>
          <w:sz w:val="24"/>
        </w:rPr>
        <w:t>Důsledkem může být ztráta rovnováhy na planet</w:t>
      </w:r>
      <w:r>
        <w:rPr>
          <w:color w:val="069A2E"/>
          <w:sz w:val="24"/>
        </w:rPr>
        <w:t xml:space="preserve">ě vlivem </w:t>
      </w:r>
      <w:r>
        <w:rPr>
          <w:sz w:val="24"/>
        </w:rPr>
        <w:t>porušení přírodních zákonů. O Božím trestu nemluvě, ten už je připraven. Toto chování jde totiž proti Boží vůli, Božímu duchu.</w:t>
      </w:r>
    </w:p>
    <w:p>
      <w:pPr>
        <w:pStyle w:val="BodyText"/>
        <w:bidi w:val="0"/>
        <w:ind w:hanging="0" w:start="0" w:end="0"/>
        <w:jc w:val="start"/>
        <w:rPr/>
      </w:pPr>
      <w:r>
        <w:rPr/>
      </w:r>
      <w:bookmarkStart w:id="20" w:name="wnd_TextBlock_65261783763617244_inner_12"/>
      <w:bookmarkStart w:id="21" w:name="wnd_TextBlock_65261783763617244_inner_12"/>
      <w:bookmarkEnd w:id="21"/>
    </w:p>
    <w:p>
      <w:pPr>
        <w:pStyle w:val="BodyText"/>
        <w:bidi w:val="0"/>
        <w:ind w:hanging="0" w:start="0" w:end="0"/>
        <w:jc w:val="start"/>
        <w:rPr>
          <w:sz w:val="20"/>
        </w:rPr>
      </w:pPr>
      <w:bookmarkStart w:id="22" w:name="wnd_TextBlock_94861783765355828_inner_0"/>
      <w:bookmarkEnd w:id="22"/>
      <w:r>
        <w:rPr>
          <w:sz w:val="20"/>
        </w:rPr>
        <w:t>Zroj:</w:t>
      </w:r>
    </w:p>
    <w:p>
      <w:pPr>
        <w:pStyle w:val="BodyText"/>
        <w:bidi w:val="0"/>
        <w:ind w:hanging="0" w:start="0" w:end="0"/>
        <w:jc w:val="start"/>
        <w:rPr>
          <w:sz w:val="20"/>
        </w:rPr>
      </w:pPr>
      <w:bookmarkStart w:id="23" w:name="wnd_TextBlock_94861783765355828_inner_1"/>
      <w:bookmarkEnd w:id="23"/>
      <w:r>
        <w:rPr>
          <w:sz w:val="20"/>
        </w:rPr>
        <w:t>Etiopská kniha Enochova</w:t>
      </w:r>
    </w:p>
    <w:p>
      <w:pPr>
        <w:pStyle w:val="BodyText"/>
        <w:bidi w:val="0"/>
        <w:ind w:hanging="0" w:start="0" w:end="0"/>
        <w:jc w:val="start"/>
        <w:rPr>
          <w:sz w:val="20"/>
        </w:rPr>
      </w:pPr>
      <w:bookmarkStart w:id="24" w:name="wnd_TextBlock_94861783765355828_inner_2"/>
      <w:bookmarkEnd w:id="24"/>
      <w:r>
        <w:rPr>
          <w:sz w:val="20"/>
        </w:rPr>
        <w:t>Henoch – prorok řádu: Interpretace Knihy strážců z 1. knihy Henochovy Sacra. 2016, vol. 14, iss. 1, pp. 28-40 ISSN 1214-5351 (print); ISSN 2336-4483 (online)</w:t>
      </w:r>
    </w:p>
    <w:p>
      <w:pPr>
        <w:pStyle w:val="BodyText"/>
        <w:bidi w:val="0"/>
        <w:spacing w:before="0" w:after="140"/>
        <w:ind w:hanging="0" w:start="0" w:end="0"/>
        <w:jc w:val="start"/>
        <w:rPr>
          <w:sz w:val="20"/>
        </w:rPr>
      </w:pPr>
      <w:bookmarkStart w:id="25" w:name="wnd_TextBlock_94861783765355828_inner_3"/>
      <w:bookmarkEnd w:id="25"/>
      <w:r>
        <w:rPr>
          <w:sz w:val="20"/>
        </w:rPr>
        <w:t>Bible – Ekumenický překlad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ans-serif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ymbolyproslovn">
    <w:name w:val="Symboly pro číslování"/>
    <w:qFormat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Blokovcitace">
    <w:name w:val="Bloková citace"/>
    <w:basedOn w:val="Normal"/>
    <w:qFormat/>
    <w:pPr>
      <w:spacing w:before="0" w:after="283"/>
      <w:ind w:hanging="0" w:start="567" w:end="567"/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numbering" w:styleId="Odrka">
    <w:name w:val="Odrážka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s.wikipedia.org/" TargetMode="External"/><Relationship Id="rId3" Type="http://schemas.openxmlformats.org/officeDocument/2006/relationships/hyperlink" Target="https://cs.wikipedia.org/wiki/P&#253;cha" TargetMode="External"/><Relationship Id="rId4" Type="http://schemas.openxmlformats.org/officeDocument/2006/relationships/hyperlink" Target="https://cs.wikipedia.org/wiki/Arogance" TargetMode="External"/><Relationship Id="rId5" Type="http://schemas.openxmlformats.org/officeDocument/2006/relationships/hyperlink" Target="https://cs.wikipedia.org/wiki/Tres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LibreOffice/24.2.7.2$Linux_X86_64 LibreOffice_project/420$Build-2</Application>
  <AppVersion>15.0000</AppVersion>
  <Pages>2</Pages>
  <Words>794</Words>
  <Characters>4315</Characters>
  <CharactersWithSpaces>5104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2026-07-11T12:25:54Z</dcterms:created>
  <dc:creator/>
  <dc:description/>
  <dc:language>cs-CZ</dc:language>
  <cp:lastModifiedBy/>
  <dcterms:modified xsi:type="dcterms:W3CDTF">2026-07-12T10:49:11Z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